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Ward Charles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1360 POST OAK BLVD</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Evolve Transition Infrastructure LP</w:t>
              </w:r>
            </w:hyperlink>
            <w:r>
              <w:rPr/>
              <w:t xml:space="preserve"> [ </w:t>
            </w:r>
            <w:r>
              <w:rPr>
                <w:rFonts w:ascii="Times;serif" w:hAnsi="Times;serif"/>
                <w:color w:val="0000FF"/>
                <w:sz w:val="24"/>
                <w:shd w:fill="FFFFFF" w:val="clear"/>
              </w:rPr>
              <w:t>SNMP</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CEO, CFO &amp;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29,003</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1.3893</w:t>
            </w:r>
            <w:r>
              <w:rPr>
                <w:rFonts w:ascii="Times;serif" w:hAnsi="Times;serif"/>
                <w:color w:val="008000"/>
                <w:position w:val="7"/>
                <w:sz w:val="16"/>
                <w:sz w:val="20"/>
                <w:shd w:fill="FFFFFF" w:val="clear"/>
              </w:rPr>
              <w:t>(1)</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January 8, 2024, Evolve Transition Infrastructure GP LLC (the "General Partner") elected to exercise the limited call right pursuant to its right as the holder (together with its controlled affiliates) of more than 80% of the outstanding Common Units and Section 15.1 of the Third Amended and Restated Agreement of Limited Partnership of the Issuer, dated as of August 2, 2019 (the "Partnership Agreement") to purchase all outstanding Common Units (other than Common Units held by the General Partner or its controlled affiliates), at a price of $1.389285 per Common Unit, determined pursuant to the contractual formula set forth in Section 15.1(b) of the Partnership Agreement, effective February 16,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Charles C. Ward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29856" TargetMode="External"/><Relationship Id="rId4" Type="http://schemas.openxmlformats.org/officeDocument/2006/relationships/hyperlink" Target="http://www.sec.gov/cgi-bin/browse-edgar?action=getcompany&amp;CIK=000136270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3646</Characters>
  <CharactersWithSpaces>4257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