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00"/>
        <w:spacing w:after="0"/>
        <w:rPr>
          <w:sz w:val="20"/>
          <w:szCs w:val="20"/>
          <w:color w:val="auto"/>
        </w:rPr>
      </w:pPr>
      <w:r>
        <w:rPr>
          <w:rFonts w:ascii="Times New Roman" w:cs="Times New Roman" w:eastAsia="Times New Roman" w:hAnsi="Times New Roman"/>
          <w:sz w:val="23"/>
          <w:szCs w:val="23"/>
          <w:b w:val="1"/>
          <w:bCs w:val="1"/>
          <w:color w:val="auto"/>
        </w:rPr>
        <w:t>UNITED STATES</w:t>
      </w:r>
    </w:p>
    <w:p>
      <w:pPr>
        <w:ind w:left="3080"/>
        <w:spacing w:after="0" w:line="215" w:lineRule="auto"/>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15</w:t>
      </w:r>
    </w:p>
    <w:p>
      <w:pPr>
        <w:spacing w:after="0" w:line="177" w:lineRule="exact"/>
        <w:rPr>
          <w:sz w:val="24"/>
          <w:szCs w:val="24"/>
          <w:color w:val="auto"/>
        </w:rPr>
      </w:pPr>
    </w:p>
    <w:p>
      <w:pPr>
        <w:jc w:val="both"/>
        <w:spacing w:after="0" w:line="232" w:lineRule="auto"/>
        <w:rPr>
          <w:sz w:val="20"/>
          <w:szCs w:val="20"/>
          <w:color w:val="auto"/>
        </w:rPr>
      </w:pPr>
      <w:r>
        <w:rPr>
          <w:rFonts w:ascii="Times New Roman" w:cs="Times New Roman" w:eastAsia="Times New Roman" w:hAnsi="Times New Roman"/>
          <w:sz w:val="23"/>
          <w:szCs w:val="23"/>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001-33147</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EVOLVE TRANSITION INFRASTRUCTURE LP</w:t>
      </w:r>
    </w:p>
    <w:p>
      <w:pPr>
        <w:jc w:val="center"/>
        <w:ind w:right="-19"/>
        <w:spacing w:after="0" w:line="218" w:lineRule="auto"/>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w:t>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1360 Post Oak Blvd, Suite 2400</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Houston, Texas 77056</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(713) 783-8000</w:t>
      </w:r>
    </w:p>
    <w:p>
      <w:pPr>
        <w:spacing w:after="0" w:line="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4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Common Units</w:t>
      </w:r>
    </w:p>
    <w:p>
      <w:pPr>
        <w:ind w:left="3660"/>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140"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jc w:val="center"/>
        <w:ind w:right="-19"/>
        <w:spacing w:after="0" w:line="197" w:lineRule="auto"/>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ind w:left="352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Please place an X in the box(es) to designate the appropriate rule provision(s) relied upon to terminate or suspend the duty to file reports:</w:t>
      </w:r>
    </w:p>
    <w:p>
      <w:pPr>
        <w:sectPr>
          <w:pgSz w:w="11900" w:h="16838" w:orient="portrait"/>
          <w:cols w:equalWidth="0" w:num="1">
            <w:col w:w="11240"/>
          </w:cols>
          <w:pgMar w:left="320" w:top="1076" w:right="339" w:bottom="1440" w:gutter="0" w:footer="0" w:header="0"/>
        </w:sectPr>
      </w:pPr>
    </w:p>
    <w:p>
      <w:pPr>
        <w:spacing w:after="0" w:line="270"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0"/>
          <w:szCs w:val="20"/>
          <w:color w:val="auto"/>
        </w:rPr>
        <w:t>Rule 12g-4(a)(1)</w:t>
      </w:r>
    </w:p>
    <w:p>
      <w:pPr>
        <w:spacing w:after="0" w:line="28"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0"/>
          <w:szCs w:val="20"/>
          <w:color w:val="auto"/>
        </w:rPr>
        <w:t>Rule 12g-4(a)(2)</w:t>
      </w:r>
    </w:p>
    <w:p>
      <w:pPr>
        <w:spacing w:after="0" w:line="2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0"/>
          <w:szCs w:val="20"/>
          <w:color w:val="auto"/>
        </w:rPr>
        <w:t>Rule 12h-3(b)(1)(i)</w:t>
      </w:r>
    </w:p>
    <w:p>
      <w:pPr>
        <w:spacing w:after="0" w:line="2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9"/>
          <w:szCs w:val="19"/>
          <w:color w:val="auto"/>
        </w:rPr>
        <w:t>Rule 12h-3(b)(1)(ii)</w:t>
      </w:r>
    </w:p>
    <w:p>
      <w:pPr>
        <w:spacing w:after="0" w:line="38"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0"/>
          <w:szCs w:val="20"/>
          <w:color w:val="auto"/>
        </w:rPr>
        <w:t>Rule 15d-6</w:t>
      </w:r>
    </w:p>
    <w:p>
      <w:pPr>
        <w:spacing w:after="0" w:line="2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0"/>
          <w:szCs w:val="20"/>
          <w:color w:val="auto"/>
        </w:rPr>
        <w:t>Rule 15d-22(b)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3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7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7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7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7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7" w:lineRule="exact"/>
        <w:rPr>
          <w:sz w:val="24"/>
          <w:szCs w:val="24"/>
          <w:color w:val="auto"/>
        </w:rPr>
      </w:pPr>
    </w:p>
    <w:p>
      <w:pPr>
        <w:sectPr>
          <w:pgSz w:w="11900" w:h="16838" w:orient="portrait"/>
          <w:cols w:equalWidth="0" w:num="2">
            <w:col w:w="2940" w:space="720"/>
            <w:col w:w="7580"/>
          </w:cols>
          <w:pgMar w:left="320" w:top="1076" w:right="339" w:bottom="1440" w:gutter="0" w:footer="0" w:header="0"/>
          <w:type w:val="continuous"/>
        </w:sectPr>
      </w:pP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Approximate number of holders of record as of the certification or notice date: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3985895</wp:posOffset>
            </wp:positionH>
            <wp:positionV relativeFrom="paragraph">
              <wp:posOffset>-3810</wp:posOffset>
            </wp:positionV>
            <wp:extent cx="1885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type w:val="continuous"/>
        </w:sectPr>
      </w:pPr>
    </w:p>
    <w:bookmarkStart w:id="1" w:name="page2"/>
    <w:bookmarkEnd w:id="1"/>
    <w:p>
      <w:pPr>
        <w:ind w:right="20" w:firstLine="405"/>
        <w:spacing w:after="0"/>
        <w:rPr>
          <w:sz w:val="20"/>
          <w:szCs w:val="20"/>
          <w:color w:val="auto"/>
        </w:rPr>
      </w:pPr>
      <w:r>
        <w:rPr>
          <w:rFonts w:ascii="Times New Roman" w:cs="Times New Roman" w:eastAsia="Times New Roman" w:hAnsi="Times New Roman"/>
          <w:sz w:val="20"/>
          <w:szCs w:val="20"/>
          <w:color w:val="auto"/>
        </w:rPr>
        <w:t>Pursuant to the requirements of the Securities Exchange Act of 1934, Evolve Transition Infrastructure LP has caused this certification/notice to be signed on its behalf by the undersigned duly authorized person.</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818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EVOLVE TRANSITION INFRASTRUCTURE LP</w:t>
            </w:r>
          </w:p>
        </w:tc>
      </w:tr>
      <w:tr>
        <w:trPr>
          <w:trHeight w:val="256"/>
        </w:trPr>
        <w:tc>
          <w:tcPr>
            <w:tcW w:w="3040" w:type="dxa"/>
            <w:vAlign w:val="bottom"/>
          </w:tcPr>
          <w:p>
            <w:pPr>
              <w:spacing w:after="0"/>
              <w:rPr>
                <w:sz w:val="22"/>
                <w:szCs w:val="22"/>
                <w:color w:val="auto"/>
              </w:rPr>
            </w:pPr>
          </w:p>
        </w:tc>
        <w:tc>
          <w:tcPr>
            <w:tcW w:w="18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Evolve Transition Infrastructure GP LLC</w:t>
            </w:r>
            <w:r>
              <w:rPr>
                <w:rFonts w:ascii="Times New Roman" w:cs="Times New Roman" w:eastAsia="Times New Roman" w:hAnsi="Times New Roman"/>
                <w:sz w:val="18"/>
                <w:szCs w:val="18"/>
                <w:color w:val="auto"/>
              </w:rPr>
              <w:t>, its general partner</w:t>
            </w:r>
          </w:p>
        </w:tc>
      </w:tr>
      <w:tr>
        <w:trPr>
          <w:trHeight w:val="74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18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C. Ward</w:t>
            </w:r>
          </w:p>
        </w:tc>
      </w:tr>
      <w:tr>
        <w:trPr>
          <w:trHeight w:val="243"/>
        </w:trPr>
        <w:tc>
          <w:tcPr>
            <w:tcW w:w="30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C. Ward</w:t>
            </w:r>
          </w:p>
        </w:tc>
      </w:tr>
      <w:tr>
        <w:trPr>
          <w:trHeight w:val="257"/>
        </w:trPr>
        <w:tc>
          <w:tcPr>
            <w:tcW w:w="30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Executive Officer, Chief Financial Officer and Secretary</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2024-02-29T12:38:34Z</dcterms:created>
  <dcterms:modified xsi:type="dcterms:W3CDTF">2024-02-29T12:38:34Z</dcterms:modified>
</cp:coreProperties>
</file>